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3D6650">
      <w:pPr>
        <w:keepNext w:val="0"/>
        <w:keepLines w:val="0"/>
        <w:pageBreakBefore w:val="0"/>
        <w:widowControl w:val="0"/>
        <w:kinsoku/>
        <w:wordWrap/>
        <w:overflowPunct/>
        <w:topLinePunct w:val="0"/>
        <w:autoSpaceDE/>
        <w:autoSpaceDN/>
        <w:bidi w:val="0"/>
        <w:adjustRightInd/>
        <w:snapToGrid/>
        <w:spacing w:line="660" w:lineRule="exact"/>
        <w:textAlignment w:val="auto"/>
        <w:rPr>
          <w:rFonts w:hint="eastAsia" w:ascii="方正小标宋简体" w:hAnsi="黑体" w:eastAsia="方正小标宋简体" w:cs="Times New Roman"/>
          <w:sz w:val="28"/>
          <w:szCs w:val="28"/>
          <w:lang w:val="en-US" w:eastAsia="zh-CN"/>
        </w:rPr>
      </w:pPr>
      <w:r>
        <w:rPr>
          <w:rFonts w:hint="eastAsia" w:ascii="黑体" w:hAnsi="华文中宋" w:eastAsia="黑体"/>
          <w:sz w:val="28"/>
          <w:szCs w:val="28"/>
        </w:rPr>
        <w:t>陕西省绿化先进集体典型材料</w:t>
      </w:r>
    </w:p>
    <w:p w14:paraId="044DA70D">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方正小标宋简体" w:hAnsi="黑体" w:eastAsia="方正小标宋简体" w:cs="Times New Roman"/>
          <w:sz w:val="44"/>
          <w:szCs w:val="44"/>
          <w:lang w:val="en-US" w:eastAsia="zh-CN"/>
        </w:rPr>
      </w:pPr>
      <w:r>
        <w:rPr>
          <w:rFonts w:hint="eastAsia" w:ascii="方正小标宋简体" w:hAnsi="黑体" w:eastAsia="方正小标宋简体" w:cs="Times New Roman"/>
          <w:sz w:val="44"/>
          <w:szCs w:val="44"/>
          <w:lang w:val="en-US" w:eastAsia="zh-CN"/>
        </w:rPr>
        <w:t>大力实施造林绿化  努力实现绿富双赢</w:t>
      </w:r>
    </w:p>
    <w:p w14:paraId="5C35A68A">
      <w:pPr>
        <w:keepNext w:val="0"/>
        <w:keepLines w:val="0"/>
        <w:pageBreakBefore w:val="0"/>
        <w:widowControl w:val="0"/>
        <w:shd w:val="clear" w:color="auto" w:fill="FFFFFF"/>
        <w:kinsoku/>
        <w:wordWrap/>
        <w:overflowPunct/>
        <w:topLinePunct w:val="0"/>
        <w:autoSpaceDE/>
        <w:autoSpaceDN/>
        <w:bidi w:val="0"/>
        <w:adjustRightInd/>
        <w:snapToGrid/>
        <w:spacing w:line="570" w:lineRule="exact"/>
        <w:ind w:firstLine="960" w:firstLineChars="300"/>
        <w:jc w:val="both"/>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val="en-US" w:eastAsia="zh-CN"/>
        </w:rPr>
        <w:t>---</w:t>
      </w:r>
      <w:r>
        <w:rPr>
          <w:rFonts w:hint="eastAsia" w:ascii="仿宋_GB2312" w:hAnsi="Times New Roman" w:eastAsia="仿宋_GB2312" w:cs="Times New Roman"/>
          <w:sz w:val="32"/>
          <w:szCs w:val="32"/>
        </w:rPr>
        <w:t>旬阳市林业局申报省级绿化先进单位典型材料</w:t>
      </w:r>
    </w:p>
    <w:p w14:paraId="7C277914">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caps w:val="0"/>
          <w:color w:val="333333"/>
          <w:spacing w:val="0"/>
          <w:sz w:val="32"/>
          <w:szCs w:val="32"/>
          <w:shd w:val="clear" w:color="auto" w:fill="auto"/>
        </w:rPr>
      </w:pPr>
    </w:p>
    <w:p w14:paraId="1E3BFE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shd w:val="clear" w:color="auto" w:fill="auto"/>
        </w:rPr>
        <w:t>旬阳地处陕西省东南部，秦巴山区东段，汉江横贯其中。县城位于汉江、旬河交汇处，曲水环流，状若太极，被誉为“中华天然太极城”。全市总面积3541平方公里，辖21个镇309个村(居、社区)，户籍人口43</w:t>
      </w:r>
      <w:r>
        <w:rPr>
          <w:rFonts w:hint="eastAsia" w:ascii="仿宋_GB2312" w:hAnsi="仿宋_GB2312" w:eastAsia="仿宋_GB2312" w:cs="仿宋_GB2312"/>
          <w:i w:val="0"/>
          <w:iCs w:val="0"/>
          <w:caps w:val="0"/>
          <w:color w:val="333333"/>
          <w:spacing w:val="0"/>
          <w:sz w:val="32"/>
          <w:szCs w:val="32"/>
          <w:shd w:val="clear" w:color="auto" w:fill="auto"/>
          <w:lang w:val="en-US" w:eastAsia="zh-CN"/>
        </w:rPr>
        <w:t>3079</w:t>
      </w:r>
      <w:r>
        <w:rPr>
          <w:rFonts w:hint="eastAsia" w:ascii="仿宋_GB2312" w:hAnsi="仿宋_GB2312" w:eastAsia="仿宋_GB2312" w:cs="仿宋_GB2312"/>
          <w:i w:val="0"/>
          <w:iCs w:val="0"/>
          <w:caps w:val="0"/>
          <w:color w:val="333333"/>
          <w:spacing w:val="0"/>
          <w:sz w:val="32"/>
          <w:szCs w:val="32"/>
          <w:shd w:val="clear" w:color="auto" w:fill="auto"/>
        </w:rPr>
        <w:t>人</w:t>
      </w:r>
      <w:r>
        <w:rPr>
          <w:rFonts w:hint="eastAsia" w:ascii="仿宋_GB2312" w:hAnsi="仿宋_GB2312" w:eastAsia="仿宋_GB2312" w:cs="仿宋_GB2312"/>
          <w:i w:val="0"/>
          <w:iCs w:val="0"/>
          <w:caps w:val="0"/>
          <w:color w:val="333333"/>
          <w:spacing w:val="0"/>
          <w:sz w:val="32"/>
          <w:szCs w:val="32"/>
          <w:shd w:val="clear" w:color="auto" w:fill="auto"/>
          <w:lang w:eastAsia="zh-CN"/>
        </w:rPr>
        <w:t>。</w:t>
      </w:r>
      <w:r>
        <w:rPr>
          <w:rFonts w:hint="eastAsia" w:ascii="仿宋_GB2312" w:hAnsi="仿宋_GB2312" w:eastAsia="仿宋_GB2312" w:cs="仿宋_GB2312"/>
          <w:i w:val="0"/>
          <w:iCs w:val="0"/>
          <w:caps w:val="0"/>
          <w:color w:val="333333"/>
          <w:spacing w:val="0"/>
          <w:sz w:val="32"/>
          <w:szCs w:val="32"/>
          <w:shd w:val="clear" w:color="auto" w:fill="auto"/>
        </w:rPr>
        <w:t>是革命老区县，全国文明村镇建设示范县，也是省委、省政府确定的扩权试点县。</w:t>
      </w:r>
      <w:r>
        <w:rPr>
          <w:rFonts w:hint="eastAsia" w:ascii="仿宋_GB2312" w:hAnsi="仿宋_GB2312" w:eastAsia="仿宋_GB2312" w:cs="仿宋_GB2312"/>
          <w:i w:val="0"/>
          <w:iCs w:val="0"/>
          <w:caps w:val="0"/>
          <w:color w:val="333333"/>
          <w:spacing w:val="0"/>
          <w:sz w:val="32"/>
          <w:szCs w:val="32"/>
          <w:shd w:val="clear" w:color="auto" w:fill="auto"/>
          <w:lang w:val="en-US" w:eastAsia="zh-CN"/>
        </w:rPr>
        <w:t>2024年实现生产总值160.63亿元，同比增长5.8%；完成财政总收入27.03亿元，同比增长0.5%；城镇居民可支配收入24170元，较上年增加1672元。全市</w:t>
      </w:r>
      <w:r>
        <w:rPr>
          <w:rFonts w:hint="eastAsia" w:ascii="仿宋_GB2312" w:hAnsi="仿宋_GB2312" w:eastAsia="仿宋_GB2312" w:cs="仿宋_GB2312"/>
          <w:sz w:val="32"/>
          <w:szCs w:val="32"/>
          <w:lang w:eastAsia="zh-CN"/>
        </w:rPr>
        <w:t>林业用地面积</w:t>
      </w:r>
      <w:r>
        <w:rPr>
          <w:rFonts w:hint="eastAsia" w:ascii="仿宋_GB2312" w:hAnsi="仿宋_GB2312" w:eastAsia="仿宋_GB2312" w:cs="仿宋_GB2312"/>
          <w:sz w:val="32"/>
          <w:szCs w:val="32"/>
          <w:lang w:val="en-US" w:eastAsia="zh-CN"/>
        </w:rPr>
        <w:t>424.22</w:t>
      </w:r>
      <w:r>
        <w:rPr>
          <w:rFonts w:hint="eastAsia" w:ascii="仿宋_GB2312" w:hAnsi="仿宋_GB2312" w:eastAsia="仿宋_GB2312" w:cs="仿宋_GB2312"/>
          <w:sz w:val="32"/>
          <w:szCs w:val="32"/>
        </w:rPr>
        <w:t>万亩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森林覆盖率为55.18%、林木绿化率为63.9%。</w:t>
      </w:r>
    </w:p>
    <w:p w14:paraId="2FF01812">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0" w:firstLineChars="200"/>
        <w:textAlignment w:val="baseline"/>
        <w:rPr>
          <w:rFonts w:hint="eastAsia" w:ascii="仿宋_GB2312" w:hAnsi="仿宋_GB2312" w:eastAsia="仿宋_GB2312" w:cs="仿宋_GB2312"/>
          <w:b w:val="0"/>
          <w:bCs/>
          <w:kern w:val="0"/>
          <w:sz w:val="32"/>
          <w:szCs w:val="32"/>
          <w:lang w:eastAsia="zh-CN"/>
        </w:rPr>
      </w:pPr>
      <w:r>
        <w:rPr>
          <w:rFonts w:hint="eastAsia" w:ascii="仿宋_GB2312" w:eastAsia="仿宋_GB2312"/>
          <w:sz w:val="32"/>
          <w:szCs w:val="32"/>
          <w:lang w:val="en-US" w:eastAsia="zh-CN"/>
        </w:rPr>
        <w:t>旬阳市</w:t>
      </w:r>
      <w:r>
        <w:rPr>
          <w:rFonts w:hint="eastAsia" w:ascii="仿宋_GB2312" w:eastAsia="仿宋_GB2312"/>
          <w:sz w:val="32"/>
          <w:szCs w:val="32"/>
        </w:rPr>
        <w:t>林业局于2019年3月</w:t>
      </w:r>
      <w:r>
        <w:rPr>
          <w:rFonts w:hint="eastAsia" w:ascii="仿宋_GB2312" w:eastAsia="仿宋_GB2312"/>
          <w:sz w:val="32"/>
          <w:szCs w:val="32"/>
          <w:lang w:val="en-US" w:eastAsia="zh-CN"/>
        </w:rPr>
        <w:t>机构改革</w:t>
      </w:r>
      <w:r>
        <w:rPr>
          <w:rFonts w:hint="eastAsia" w:ascii="仿宋_GB2312" w:eastAsia="仿宋_GB2312"/>
          <w:sz w:val="32"/>
          <w:szCs w:val="32"/>
        </w:rPr>
        <w:t>成立，</w:t>
      </w:r>
      <w:r>
        <w:rPr>
          <w:rFonts w:hint="eastAsia" w:ascii="仿宋_GB2312" w:eastAsia="仿宋_GB2312"/>
          <w:sz w:val="32"/>
          <w:szCs w:val="32"/>
          <w:lang w:eastAsia="zh-CN"/>
        </w:rPr>
        <w:t>作为市政府林业草原建设职能部门，</w:t>
      </w:r>
      <w:r>
        <w:rPr>
          <w:rFonts w:hint="eastAsia" w:ascii="仿宋_GB2312" w:eastAsia="仿宋_GB2312"/>
          <w:sz w:val="32"/>
          <w:szCs w:val="32"/>
          <w:lang w:val="en-US" w:eastAsia="zh-CN"/>
        </w:rPr>
        <w:t>负责全市林业和草原生态保护修复、森林资源保护、造林绿化、全民义务植树等工作，</w:t>
      </w:r>
      <w:r>
        <w:rPr>
          <w:rFonts w:hint="eastAsia" w:ascii="仿宋_GB2312" w:eastAsia="仿宋_GB2312"/>
          <w:sz w:val="32"/>
          <w:szCs w:val="32"/>
          <w:lang w:eastAsia="zh-CN"/>
        </w:rPr>
        <w:t>内设</w:t>
      </w:r>
      <w:r>
        <w:rPr>
          <w:rFonts w:hint="eastAsia" w:ascii="仿宋_GB2312" w:eastAsia="仿宋_GB2312"/>
          <w:sz w:val="32"/>
          <w:szCs w:val="32"/>
          <w:lang w:val="en-US" w:eastAsia="zh-CN"/>
        </w:rPr>
        <w:t>5个股</w:t>
      </w:r>
      <w:r>
        <w:rPr>
          <w:rFonts w:hint="eastAsia" w:ascii="仿宋_GB2312" w:eastAsia="仿宋_GB2312"/>
          <w:sz w:val="32"/>
          <w:szCs w:val="32"/>
          <w:lang w:eastAsia="zh-CN"/>
        </w:rPr>
        <w:t>、</w:t>
      </w:r>
      <w:r>
        <w:rPr>
          <w:rFonts w:hint="eastAsia" w:ascii="仿宋_GB2312" w:eastAsia="仿宋_GB2312"/>
          <w:sz w:val="32"/>
          <w:szCs w:val="32"/>
        </w:rPr>
        <w:t>6个事业单位</w:t>
      </w:r>
      <w:r>
        <w:rPr>
          <w:rFonts w:hint="eastAsia" w:ascii="仿宋_GB2312" w:eastAsia="仿宋_GB2312"/>
          <w:sz w:val="32"/>
          <w:szCs w:val="32"/>
          <w:lang w:eastAsia="zh-CN"/>
        </w:rPr>
        <w:t>，共</w:t>
      </w:r>
      <w:r>
        <w:rPr>
          <w:rFonts w:hint="eastAsia" w:ascii="仿宋_GB2312" w:eastAsia="仿宋_GB2312"/>
          <w:sz w:val="32"/>
          <w:szCs w:val="32"/>
        </w:rPr>
        <w:t>有干部职工</w:t>
      </w:r>
      <w:r>
        <w:rPr>
          <w:rFonts w:hint="eastAsia" w:ascii="仿宋_GB2312" w:eastAsia="仿宋_GB2312"/>
          <w:sz w:val="32"/>
          <w:szCs w:val="32"/>
          <w:lang w:val="en-US" w:eastAsia="zh-CN"/>
        </w:rPr>
        <w:t>111</w:t>
      </w:r>
      <w:r>
        <w:rPr>
          <w:rFonts w:hint="eastAsia" w:ascii="仿宋_GB2312" w:eastAsia="仿宋_GB2312"/>
          <w:sz w:val="32"/>
          <w:szCs w:val="32"/>
        </w:rPr>
        <w:t>人</w:t>
      </w:r>
      <w:r>
        <w:rPr>
          <w:rFonts w:hint="eastAsia" w:ascii="仿宋_GB2312" w:eastAsia="仿宋_GB2312"/>
          <w:sz w:val="32"/>
          <w:szCs w:val="32"/>
          <w:lang w:eastAsia="zh-CN"/>
        </w:rPr>
        <w:t>。近年来，该局</w:t>
      </w:r>
      <w:r>
        <w:rPr>
          <w:rFonts w:hint="eastAsia" w:ascii="仿宋_GB2312" w:hAnsi="仿宋_GB2312" w:eastAsia="仿宋_GB2312" w:cs="仿宋_GB2312"/>
          <w:sz w:val="32"/>
          <w:szCs w:val="32"/>
        </w:rPr>
        <w:t>认真践行“绿水青山就是金山银山”发展理念，紧紧围绕“3456”工作部署，</w:t>
      </w:r>
      <w:r>
        <w:rPr>
          <w:rFonts w:hint="eastAsia" w:ascii="仿宋_GB2312" w:hAnsi="仿宋_GB2312" w:eastAsia="仿宋_GB2312" w:cs="仿宋_GB2312"/>
          <w:sz w:val="32"/>
          <w:szCs w:val="32"/>
          <w:lang w:eastAsia="zh-CN"/>
        </w:rPr>
        <w:t>以林业高质量发展为中心</w:t>
      </w:r>
      <w:r>
        <w:rPr>
          <w:rFonts w:hint="eastAsia" w:ascii="仿宋_GB2312" w:hAnsi="仿宋_GB2312" w:eastAsia="仿宋_GB2312" w:cs="仿宋_GB2312"/>
          <w:sz w:val="32"/>
          <w:szCs w:val="32"/>
        </w:rPr>
        <w:t>，重抓“国土增绿、生态富民、资源管理、科技兴林”四项工程，持续推动林业生态环境高水平保护、林业生态经济高质量发展、林区群众生活高品质提升</w:t>
      </w:r>
      <w:r>
        <w:rPr>
          <w:rFonts w:hint="eastAsia" w:ascii="仿宋_GB2312" w:hAnsi="仿宋_GB2312" w:eastAsia="仿宋_GB2312" w:cs="仿宋_GB2312"/>
          <w:sz w:val="32"/>
          <w:szCs w:val="32"/>
          <w:lang w:eastAsia="zh-CN"/>
        </w:rPr>
        <w:t>，使全市造林绿化工作取得了显著成效。</w:t>
      </w:r>
      <w:r>
        <w:rPr>
          <w:rFonts w:hint="eastAsia" w:ascii="仿宋_GB2312" w:eastAsia="仿宋_GB2312"/>
          <w:sz w:val="32"/>
          <w:szCs w:val="32"/>
        </w:rPr>
        <w:t>先后</w:t>
      </w:r>
      <w:r>
        <w:rPr>
          <w:rFonts w:hint="eastAsia" w:ascii="仿宋_GB2312" w:hAnsi="仿宋_GB2312" w:eastAsia="仿宋_GB2312" w:cs="仿宋_GB2312"/>
          <w:b w:val="0"/>
          <w:bCs/>
          <w:sz w:val="32"/>
          <w:szCs w:val="32"/>
        </w:rPr>
        <w:t>被国家林草局通报表彰为“松材线虫病疫情防控攻坚行动先进单位”；森林防火风险普查工作被表彰为第一次全国自然灾害综合风险普查先进集体</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sz w:val="32"/>
          <w:szCs w:val="32"/>
          <w:lang w:val="en-US" w:eastAsia="zh-CN"/>
        </w:rPr>
        <w:t>全国退耕还林还草提质增效工作培训会，我市就退耕还林还草提质增效做工作经验交流；</w:t>
      </w:r>
      <w:r>
        <w:rPr>
          <w:rFonts w:hint="eastAsia" w:ascii="仿宋_GB2312" w:hAnsi="仿宋_GB2312" w:eastAsia="仿宋_GB2312" w:cs="仿宋_GB2312"/>
          <w:b w:val="0"/>
          <w:bCs/>
          <w:kern w:val="0"/>
          <w:sz w:val="32"/>
          <w:szCs w:val="32"/>
          <w:lang w:val="en-US" w:eastAsia="zh-CN"/>
        </w:rPr>
        <w:t>局党组成员副局长兰瑞涛被评为</w:t>
      </w:r>
      <w:r>
        <w:rPr>
          <w:rFonts w:hint="eastAsia" w:ascii="仿宋_GB2312" w:hAnsi="仿宋_GB2312" w:eastAsia="仿宋_GB2312" w:cs="仿宋_GB2312"/>
          <w:b w:val="0"/>
          <w:bCs/>
          <w:kern w:val="0"/>
          <w:sz w:val="32"/>
          <w:szCs w:val="32"/>
          <w:lang w:eastAsia="zh-CN"/>
        </w:rPr>
        <w:t>全国绿化先进工作者。</w:t>
      </w:r>
    </w:p>
    <w:p w14:paraId="291E7ABC">
      <w:pPr>
        <w:keepNext w:val="0"/>
        <w:keepLines w:val="0"/>
        <w:pageBreakBefore w:val="0"/>
        <w:widowControl w:val="0"/>
        <w:kinsoku/>
        <w:wordWrap/>
        <w:overflowPunct/>
        <w:topLinePunct w:val="0"/>
        <w:autoSpaceDE/>
        <w:autoSpaceDN/>
        <w:bidi w:val="0"/>
        <w:spacing w:line="560" w:lineRule="exact"/>
        <w:ind w:firstLine="640" w:firstLineChars="200"/>
        <w:rPr>
          <w:rFonts w:hint="eastAsia" w:ascii="仿宋_GB2312" w:hAnsi="仿宋_GB2312" w:eastAsia="仿宋_GB2312" w:cs="仿宋_GB2312"/>
          <w:sz w:val="32"/>
          <w:szCs w:val="32"/>
        </w:rPr>
      </w:pPr>
      <w:r>
        <w:rPr>
          <w:rFonts w:hint="eastAsia" w:ascii="黑体" w:hAnsi="黑体" w:eastAsia="黑体" w:cs="仿宋_GB2312"/>
          <w:b w:val="0"/>
          <w:bCs/>
          <w:color w:val="000000"/>
          <w:sz w:val="32"/>
          <w:szCs w:val="32"/>
        </w:rPr>
        <w:t>一、</w:t>
      </w:r>
      <w:r>
        <w:rPr>
          <w:rFonts w:hint="eastAsia" w:ascii="黑体" w:hAnsi="黑体" w:eastAsia="黑体" w:cs="黑体"/>
          <w:b w:val="0"/>
          <w:bCs/>
          <w:color w:val="000000"/>
          <w:sz w:val="32"/>
          <w:szCs w:val="32"/>
        </w:rPr>
        <w:t>科学布局，实施规划引领。</w:t>
      </w:r>
      <w:r>
        <w:rPr>
          <w:rFonts w:hint="eastAsia" w:ascii="仿宋_GB2312" w:hAnsi="仿宋_GB2312" w:eastAsia="仿宋_GB2312" w:cs="仿宋_GB2312"/>
          <w:color w:val="auto"/>
          <w:sz w:val="32"/>
          <w:szCs w:val="32"/>
          <w:lang w:eastAsia="zh-CN"/>
        </w:rPr>
        <w:t>该局</w:t>
      </w:r>
      <w:r>
        <w:rPr>
          <w:rFonts w:hint="eastAsia" w:ascii="仿宋_GB2312" w:hAnsi="仿宋_GB2312" w:eastAsia="仿宋_GB2312" w:cs="仿宋_GB2312"/>
          <w:color w:val="auto"/>
          <w:sz w:val="32"/>
          <w:szCs w:val="32"/>
        </w:rPr>
        <w:t>坚持以习近平生态文明思想为指引，深入学习贯彻党的二十大精神，牢牢把握“生态优先、绿色发展”战略定位，紧扣山林增效、身边增绿、城乡增景“三增”目标，科学谋划、精心实施，奋力推进国土绿化转型发展，为绿水青山大美旬阳增添厚重底色。坚守耕地“非农化”“非粮化”耕地保护政策底线，面对宜</w:t>
      </w:r>
      <w:r>
        <w:rPr>
          <w:rFonts w:hint="eastAsia" w:ascii="仿宋_GB2312" w:hAnsi="仿宋_GB2312" w:eastAsia="仿宋_GB2312" w:cs="仿宋_GB2312"/>
          <w:sz w:val="32"/>
          <w:szCs w:val="32"/>
        </w:rPr>
        <w:t>林荒山地块</w:t>
      </w:r>
      <w:r>
        <w:rPr>
          <w:rFonts w:hint="eastAsia" w:ascii="仿宋_GB2312" w:hAnsi="仿宋_GB2312" w:eastAsia="仿宋_GB2312" w:cs="仿宋_GB2312"/>
          <w:color w:val="000000"/>
          <w:sz w:val="32"/>
          <w:szCs w:val="32"/>
        </w:rPr>
        <w:t>破碎分散、山高坡陡、土壤瘠薄、岩层裸露、立地条件差等困难，</w:t>
      </w:r>
      <w:r>
        <w:rPr>
          <w:rFonts w:hint="eastAsia" w:ascii="仿宋_GB2312" w:hAnsi="仿宋_GB2312" w:eastAsia="仿宋_GB2312" w:cs="仿宋_GB2312"/>
          <w:sz w:val="32"/>
          <w:szCs w:val="32"/>
        </w:rPr>
        <w:t>立足新任务主动求变，组织专业技术人员精准摸底规划，</w:t>
      </w:r>
      <w:r>
        <w:rPr>
          <w:rFonts w:hint="eastAsia" w:ascii="仿宋_GB2312" w:hAnsi="仿宋_GB2312" w:eastAsia="仿宋_GB2312" w:cs="仿宋_GB2312"/>
          <w:color w:val="000000"/>
          <w:sz w:val="32"/>
          <w:szCs w:val="32"/>
        </w:rPr>
        <w:t>实施造林绿化空间调查评估，</w:t>
      </w:r>
      <w:r>
        <w:rPr>
          <w:rFonts w:hint="eastAsia" w:ascii="仿宋_GB2312" w:hAnsi="仿宋_GB2312" w:eastAsia="仿宋_GB2312" w:cs="仿宋_GB2312"/>
          <w:sz w:val="32"/>
          <w:szCs w:val="32"/>
        </w:rPr>
        <w:t>初步形成“聚焦重点区域、</w:t>
      </w: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年分步实施、突出项目引领、侧重山林经济”的发展思路和绿化目标，即：以城郊周边、集镇四转、江河两岸、直观坡面等区域为重点，形成可利用林地“一张图”，按照</w:t>
      </w: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年左右时间分步实施、逐年落实，以项目造林为引领，重点在特色产业、庭院经济、重点区域绿化等方面下力气做文章，推动旬阳国土绿化大转型。</w:t>
      </w:r>
    </w:p>
    <w:p w14:paraId="72028BE6">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sz w:val="32"/>
          <w:szCs w:val="32"/>
        </w:rPr>
      </w:pPr>
      <w:r>
        <w:rPr>
          <w:rFonts w:hint="eastAsia" w:ascii="黑体" w:hAnsi="黑体" w:eastAsia="黑体" w:cs="仿宋_GB2312"/>
          <w:b w:val="0"/>
          <w:bCs/>
          <w:color w:val="000000"/>
          <w:sz w:val="32"/>
          <w:szCs w:val="32"/>
        </w:rPr>
        <w:t>二、</w:t>
      </w:r>
      <w:r>
        <w:rPr>
          <w:rFonts w:hint="eastAsia" w:ascii="黑体" w:hAnsi="黑体" w:eastAsia="黑体" w:cs="黑体"/>
          <w:b w:val="0"/>
          <w:bCs/>
          <w:color w:val="000000"/>
          <w:sz w:val="32"/>
          <w:szCs w:val="32"/>
        </w:rPr>
        <w:t>项目为王，强化示范带动</w:t>
      </w:r>
      <w:r>
        <w:rPr>
          <w:rFonts w:hint="eastAsia" w:ascii="黑体" w:hAnsi="黑体" w:eastAsia="黑体" w:cs="仿宋_GB2312"/>
          <w:b w:val="0"/>
          <w:bCs/>
          <w:color w:val="000000"/>
          <w:sz w:val="32"/>
          <w:szCs w:val="32"/>
        </w:rPr>
        <w:t>。</w:t>
      </w:r>
      <w:r>
        <w:rPr>
          <w:rFonts w:hint="eastAsia" w:ascii="仿宋_GB2312" w:hAnsi="仿宋_GB2312" w:eastAsia="仿宋_GB2312" w:cs="仿宋_GB2312"/>
          <w:sz w:val="32"/>
          <w:szCs w:val="32"/>
          <w:lang w:eastAsia="zh-CN"/>
        </w:rPr>
        <w:t>近年来</w:t>
      </w:r>
      <w:r>
        <w:rPr>
          <w:rFonts w:hint="eastAsia" w:ascii="仿宋_GB2312" w:hAnsi="仿宋_GB2312" w:eastAsia="仿宋_GB2312" w:cs="仿宋_GB2312"/>
          <w:sz w:val="32"/>
          <w:szCs w:val="32"/>
          <w:lang w:val="en-US" w:eastAsia="zh-CN"/>
        </w:rPr>
        <w:t>，以林业项目建设为抓手，</w:t>
      </w:r>
      <w:r>
        <w:rPr>
          <w:rFonts w:hint="eastAsia" w:ascii="仿宋_GB2312" w:hAnsi="仿宋_GB2312" w:eastAsia="仿宋_GB2312" w:cs="仿宋_GB2312"/>
          <w:sz w:val="32"/>
          <w:szCs w:val="32"/>
          <w:lang w:eastAsia="zh-CN"/>
        </w:rPr>
        <w:t>通过</w:t>
      </w:r>
      <w:r>
        <w:rPr>
          <w:rFonts w:hint="eastAsia" w:ascii="仿宋_GB2312" w:hAnsi="仿宋_GB2312" w:eastAsia="仿宋_GB2312" w:cs="仿宋_GB2312"/>
          <w:sz w:val="32"/>
          <w:szCs w:val="32"/>
          <w:lang w:val="en-US" w:eastAsia="zh-CN"/>
        </w:rPr>
        <w:t>汉江丹江流域国土绿化示范项目、秦岭中段（南麓）水源涵养与生物多样性保护恢复项目等一批重大林业项目的实施，完成</w:t>
      </w:r>
      <w:r>
        <w:rPr>
          <w:rFonts w:hint="eastAsia" w:ascii="仿宋_GB2312" w:hAnsi="仿宋_GB2312" w:eastAsia="仿宋_GB2312" w:cs="仿宋_GB2312"/>
          <w:b w:val="0"/>
          <w:bCs/>
          <w:sz w:val="32"/>
          <w:szCs w:val="32"/>
          <w:lang w:val="en-US" w:eastAsia="zh-CN"/>
        </w:rPr>
        <w:t>营造林</w:t>
      </w:r>
      <w:r>
        <w:rPr>
          <w:rFonts w:hint="eastAsia" w:ascii="仿宋_GB2312" w:hAnsi="仿宋_GB2312" w:eastAsia="仿宋_GB2312" w:cs="仿宋_GB2312"/>
          <w:b w:val="0"/>
          <w:bCs/>
          <w:color w:val="auto"/>
          <w:kern w:val="2"/>
          <w:sz w:val="32"/>
          <w:szCs w:val="32"/>
          <w:lang w:val="en-US" w:eastAsia="zh-CN" w:bidi="ar-SA"/>
        </w:rPr>
        <w:t>73.62</w:t>
      </w:r>
      <w:r>
        <w:rPr>
          <w:rFonts w:hint="eastAsia" w:ascii="仿宋_GB2312" w:hAnsi="仿宋_GB2312" w:eastAsia="仿宋_GB2312" w:cs="仿宋_GB2312"/>
          <w:b w:val="0"/>
          <w:bCs/>
          <w:color w:val="000000"/>
          <w:kern w:val="2"/>
          <w:sz w:val="32"/>
          <w:szCs w:val="32"/>
          <w:lang w:val="en-US" w:eastAsia="zh-CN" w:bidi="ar-SA"/>
        </w:rPr>
        <w:t>万亩，义务植树611万株。</w:t>
      </w:r>
      <w:r>
        <w:rPr>
          <w:rFonts w:hint="eastAsia" w:ascii="仿宋_GB2312" w:hAnsi="仿宋_GB2312" w:eastAsia="仿宋_GB2312" w:cs="仿宋_GB2312"/>
          <w:b/>
          <w:bCs w:val="0"/>
          <w:color w:val="000000"/>
          <w:kern w:val="2"/>
          <w:sz w:val="32"/>
          <w:szCs w:val="32"/>
          <w:lang w:val="en-US" w:eastAsia="zh-CN" w:bidi="ar-SA"/>
        </w:rPr>
        <w:t>在项目管理上：</w:t>
      </w:r>
      <w:r>
        <w:rPr>
          <w:rFonts w:hint="eastAsia" w:ascii="仿宋_GB2312" w:hAnsi="仿宋_GB2312" w:eastAsia="仿宋_GB2312" w:cs="仿宋_GB2312"/>
          <w:b/>
          <w:bCs/>
          <w:color w:val="000000"/>
          <w:sz w:val="32"/>
          <w:szCs w:val="32"/>
        </w:rPr>
        <w:t>一是夯实责任抓实施。</w:t>
      </w:r>
      <w:r>
        <w:rPr>
          <w:rFonts w:hint="eastAsia" w:ascii="仿宋_GB2312" w:hAnsi="仿宋_GB2312" w:eastAsia="仿宋_GB2312" w:cs="仿宋_GB2312"/>
          <w:color w:val="000000"/>
          <w:sz w:val="32"/>
          <w:szCs w:val="32"/>
        </w:rPr>
        <w:t>创新“六个一”包抓机制，即一个项目一名班子成员挂帅、一个单位负责、一套人马包抓、一个实施方案指引、一套考核办法推动、一套档案管理</w:t>
      </w:r>
      <w:r>
        <w:rPr>
          <w:rFonts w:hint="eastAsia" w:ascii="仿宋_GB2312" w:hAnsi="仿宋_GB2312" w:eastAsia="仿宋_GB2312" w:cs="仿宋_GB2312"/>
          <w:b/>
          <w:bCs/>
          <w:color w:val="000000"/>
          <w:sz w:val="32"/>
          <w:szCs w:val="32"/>
        </w:rPr>
        <w:t>。二是落实制度抓监管。</w:t>
      </w:r>
      <w:r>
        <w:rPr>
          <w:rFonts w:hint="eastAsia" w:ascii="仿宋_GB2312" w:hAnsi="仿宋_GB2312" w:eastAsia="仿宋_GB2312" w:cs="仿宋_GB2312"/>
          <w:color w:val="000000"/>
          <w:sz w:val="32"/>
          <w:szCs w:val="32"/>
        </w:rPr>
        <w:t>严格执行项目招投标制、法人负责制、合同契约制、监理制、项目公示公告制五项制度，规范管理</w:t>
      </w:r>
      <w:r>
        <w:rPr>
          <w:rFonts w:hint="eastAsia" w:ascii="仿宋_GB2312" w:hAnsi="仿宋_GB2312" w:eastAsia="仿宋_GB2312" w:cs="仿宋_GB2312"/>
          <w:b/>
          <w:bCs/>
          <w:color w:val="000000"/>
          <w:sz w:val="32"/>
          <w:szCs w:val="32"/>
        </w:rPr>
        <w:t>。三是严格标准抓质量。</w:t>
      </w:r>
      <w:r>
        <w:rPr>
          <w:rFonts w:hint="eastAsia" w:ascii="仿宋_GB2312" w:hAnsi="仿宋_GB2312" w:eastAsia="仿宋_GB2312" w:cs="仿宋_GB2312"/>
          <w:color w:val="000000"/>
          <w:sz w:val="32"/>
          <w:szCs w:val="32"/>
        </w:rPr>
        <w:t>严把规划、整地、种苗、栽植、管护关键环节，实行技术专干、监理人员“双跟班”作业制，确保项目建设质量</w:t>
      </w:r>
      <w:r>
        <w:rPr>
          <w:rFonts w:hint="eastAsia" w:ascii="仿宋_GB2312" w:hAnsi="仿宋_GB2312" w:eastAsia="仿宋_GB2312" w:cs="仿宋_GB2312"/>
          <w:b/>
          <w:bCs/>
          <w:color w:val="000000"/>
          <w:sz w:val="32"/>
          <w:szCs w:val="32"/>
        </w:rPr>
        <w:t>。四是长期管护抓成效。</w:t>
      </w:r>
      <w:r>
        <w:rPr>
          <w:rFonts w:hint="eastAsia" w:ascii="仿宋_GB2312" w:hAnsi="仿宋_GB2312" w:eastAsia="仿宋_GB2312" w:cs="仿宋_GB2312"/>
          <w:color w:val="000000"/>
          <w:sz w:val="32"/>
          <w:szCs w:val="32"/>
        </w:rPr>
        <w:t>栽字下地、管字上马，实行“工作专班不撤、技术队伍不换”的长期包抓机制，专班一定一包三年，持续加强刷白、套袋、施肥、除草、修剪、补植等后续管护措施，确保栽一片、活一片、成一片、绿一片。</w:t>
      </w:r>
      <w:r>
        <w:rPr>
          <w:rFonts w:hint="eastAsia" w:ascii="仿宋_GB2312" w:hAnsi="仿宋_GB2312" w:eastAsia="仿宋_GB2312" w:cs="仿宋_GB2312"/>
          <w:b/>
          <w:bCs/>
          <w:color w:val="000000"/>
          <w:kern w:val="2"/>
          <w:sz w:val="32"/>
          <w:szCs w:val="32"/>
          <w:lang w:val="en-US" w:eastAsia="zh-CN" w:bidi="ar-SA"/>
        </w:rPr>
        <w:t>在项目实施中：</w:t>
      </w:r>
      <w:r>
        <w:rPr>
          <w:rFonts w:hint="eastAsia" w:ascii="仿宋_GB2312" w:hAnsi="仿宋_GB2312" w:eastAsia="仿宋_GB2312" w:cs="仿宋_GB2312"/>
          <w:kern w:val="0"/>
          <w:sz w:val="32"/>
          <w:szCs w:val="32"/>
        </w:rPr>
        <w:t>逐步培育混交林、复层林、异龄林，增加珍贵树种、乡土树种、</w:t>
      </w:r>
      <w:r>
        <w:rPr>
          <w:rFonts w:hint="eastAsia" w:ascii="仿宋_GB2312" w:hAnsi="仿宋_GB2312" w:eastAsia="仿宋_GB2312" w:cs="仿宋_GB2312"/>
          <w:kern w:val="0"/>
          <w:sz w:val="32"/>
          <w:szCs w:val="32"/>
          <w:lang w:eastAsia="zh-CN"/>
        </w:rPr>
        <w:t>开花树种、</w:t>
      </w:r>
      <w:r>
        <w:rPr>
          <w:rFonts w:hint="eastAsia" w:ascii="仿宋_GB2312" w:hAnsi="仿宋_GB2312" w:eastAsia="仿宋_GB2312" w:cs="仿宋_GB2312"/>
          <w:kern w:val="0"/>
          <w:sz w:val="32"/>
          <w:szCs w:val="32"/>
        </w:rPr>
        <w:t>长周期树种比重</w:t>
      </w:r>
      <w:r>
        <w:rPr>
          <w:rFonts w:hint="eastAsia" w:ascii="仿宋_GB2312" w:hAnsi="仿宋_GB2312" w:eastAsia="仿宋_GB2312" w:cs="仿宋_GB2312"/>
          <w:kern w:val="0"/>
          <w:sz w:val="32"/>
          <w:szCs w:val="32"/>
          <w:lang w:eastAsia="zh-CN"/>
        </w:rPr>
        <w:t>，在生态系统稳定绿起来基础上实现美起来富起来，</w:t>
      </w:r>
      <w:r>
        <w:rPr>
          <w:rFonts w:hint="eastAsia" w:ascii="仿宋_GB2312" w:hAnsi="仿宋_GB2312" w:eastAsia="仿宋_GB2312" w:cs="仿宋_GB2312"/>
          <w:color w:val="000000"/>
          <w:sz w:val="32"/>
          <w:szCs w:val="32"/>
        </w:rPr>
        <w:t>成为迈向深绿新支撑。</w:t>
      </w:r>
    </w:p>
    <w:p w14:paraId="67A7A4C1">
      <w:pPr>
        <w:pStyle w:val="2"/>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hint="eastAsia" w:ascii="黑体" w:hAnsi="黑体" w:eastAsia="黑体" w:cs="仿宋_GB2312"/>
          <w:b w:val="0"/>
          <w:bCs/>
          <w:color w:val="000000"/>
          <w:sz w:val="32"/>
          <w:szCs w:val="32"/>
        </w:rPr>
        <w:t>三、</w:t>
      </w:r>
      <w:r>
        <w:rPr>
          <w:rFonts w:hint="eastAsia" w:ascii="黑体" w:hAnsi="黑体" w:eastAsia="黑体" w:cs="黑体"/>
          <w:b w:val="0"/>
          <w:bCs/>
          <w:color w:val="000000"/>
          <w:sz w:val="32"/>
          <w:szCs w:val="32"/>
        </w:rPr>
        <w:t>产业优先，壮大山林经济。</w:t>
      </w:r>
      <w:r>
        <w:rPr>
          <w:rFonts w:hint="eastAsia" w:ascii="仿宋_GB2312" w:hAnsi="仿宋_GB2312" w:eastAsia="仿宋_GB2312" w:cs="仿宋_GB2312"/>
          <w:color w:val="000000"/>
          <w:sz w:val="32"/>
          <w:szCs w:val="32"/>
        </w:rPr>
        <w:t>坚守“生态立市、兴林富民”战略定位，全力发展生态林业。</w:t>
      </w:r>
      <w:r>
        <w:rPr>
          <w:rFonts w:hint="eastAsia" w:ascii="仿宋_GB2312" w:hAnsi="仿宋_GB2312" w:eastAsia="仿宋_GB2312" w:cs="仿宋_GB2312"/>
          <w:b/>
          <w:bCs/>
          <w:color w:val="auto"/>
          <w:sz w:val="32"/>
          <w:szCs w:val="32"/>
          <w:lang w:val="en-US" w:eastAsia="zh-CN"/>
        </w:rPr>
        <w:t>一是拐枣产业取得突破。</w:t>
      </w:r>
      <w:r>
        <w:rPr>
          <w:rFonts w:hint="eastAsia" w:ascii="仿宋_GB2312" w:hAnsi="仿宋_GB2312" w:eastAsia="仿宋_GB2312" w:cs="仿宋_GB2312"/>
          <w:color w:val="auto"/>
          <w:sz w:val="32"/>
          <w:szCs w:val="32"/>
          <w:lang w:eastAsia="zh-CN"/>
        </w:rPr>
        <w:t>全市拐枣总面积40万亩，2025年拐枣产量16万吨，产值5亿元。12家拐枣加工企业拐枣醋、酒等20余种产品走入千家万户，产研销一体的产业体系基本形成。旬阳市被命名为“中国拐枣之乡”。</w:t>
      </w:r>
      <w:r>
        <w:rPr>
          <w:rFonts w:hint="eastAsia" w:ascii="仿宋_GB2312" w:hAnsi="仿宋_GB2312" w:eastAsia="仿宋_GB2312" w:cs="仿宋_GB2312"/>
          <w:b/>
          <w:bCs/>
          <w:color w:val="auto"/>
          <w:sz w:val="32"/>
          <w:szCs w:val="32"/>
          <w:lang w:val="en-US" w:eastAsia="zh-CN"/>
        </w:rPr>
        <w:t>二是庭院经济初显成效。</w:t>
      </w:r>
      <w:r>
        <w:rPr>
          <w:rFonts w:hint="eastAsia" w:ascii="仿宋_GB2312" w:hAnsi="仿宋_GB2312" w:eastAsia="仿宋_GB2312" w:cs="仿宋_GB2312"/>
          <w:color w:val="000000"/>
          <w:kern w:val="0"/>
          <w:sz w:val="32"/>
          <w:szCs w:val="32"/>
          <w:lang w:val="en-US" w:eastAsia="zh-CN" w:bidi="ar"/>
        </w:rPr>
        <w:t xml:space="preserve"> </w:t>
      </w:r>
      <w:r>
        <w:rPr>
          <w:rFonts w:hint="eastAsia" w:ascii="仿宋_GB2312" w:hAnsi="仿宋_GB2312" w:eastAsia="仿宋_GB2312" w:cs="仿宋_GB2312"/>
          <w:b w:val="0"/>
          <w:bCs/>
          <w:sz w:val="32"/>
          <w:szCs w:val="32"/>
        </w:rPr>
        <w:t>打造旬阳庭院经济“十镇百村万户”工程，目前已建成</w:t>
      </w:r>
      <w:r>
        <w:rPr>
          <w:rFonts w:hint="eastAsia" w:ascii="仿宋_GB2312" w:hAnsi="仿宋_GB2312" w:eastAsia="仿宋_GB2312" w:cs="仿宋_GB2312"/>
          <w:b w:val="0"/>
          <w:bCs/>
          <w:color w:val="auto"/>
          <w:sz w:val="32"/>
          <w:szCs w:val="32"/>
          <w:lang w:eastAsia="zh-CN"/>
        </w:rPr>
        <w:t>重点</w:t>
      </w:r>
      <w:r>
        <w:rPr>
          <w:rFonts w:hint="eastAsia" w:ascii="仿宋_GB2312" w:hAnsi="仿宋_GB2312" w:eastAsia="仿宋_GB2312" w:cs="仿宋_GB2312"/>
          <w:b w:val="0"/>
          <w:bCs/>
          <w:color w:val="auto"/>
          <w:sz w:val="32"/>
          <w:szCs w:val="32"/>
        </w:rPr>
        <w:t>镇</w:t>
      </w:r>
      <w:r>
        <w:rPr>
          <w:rFonts w:hint="eastAsia" w:ascii="仿宋_GB2312" w:hAnsi="仿宋_GB2312" w:eastAsia="仿宋_GB2312" w:cs="仿宋_GB2312"/>
          <w:b w:val="0"/>
          <w:bCs/>
          <w:color w:val="auto"/>
          <w:sz w:val="32"/>
          <w:szCs w:val="32"/>
          <w:lang w:val="en-US" w:eastAsia="zh-CN"/>
        </w:rPr>
        <w:t>6</w:t>
      </w:r>
      <w:r>
        <w:rPr>
          <w:rFonts w:hint="eastAsia" w:ascii="仿宋_GB2312" w:hAnsi="仿宋_GB2312" w:eastAsia="仿宋_GB2312" w:cs="仿宋_GB2312"/>
          <w:b w:val="0"/>
          <w:bCs/>
          <w:color w:val="auto"/>
          <w:sz w:val="32"/>
          <w:szCs w:val="32"/>
        </w:rPr>
        <w:t>个、</w:t>
      </w:r>
      <w:r>
        <w:rPr>
          <w:rFonts w:hint="eastAsia" w:ascii="仿宋_GB2312" w:hAnsi="仿宋_GB2312" w:eastAsia="仿宋_GB2312" w:cs="仿宋_GB2312"/>
          <w:b w:val="0"/>
          <w:bCs/>
          <w:color w:val="auto"/>
          <w:sz w:val="32"/>
          <w:szCs w:val="32"/>
          <w:lang w:eastAsia="zh-CN"/>
        </w:rPr>
        <w:t>重点</w:t>
      </w:r>
      <w:r>
        <w:rPr>
          <w:rFonts w:hint="eastAsia" w:ascii="仿宋_GB2312" w:hAnsi="仿宋_GB2312" w:eastAsia="仿宋_GB2312" w:cs="仿宋_GB2312"/>
          <w:b w:val="0"/>
          <w:bCs/>
          <w:color w:val="auto"/>
          <w:sz w:val="32"/>
          <w:szCs w:val="32"/>
        </w:rPr>
        <w:t>村</w:t>
      </w:r>
      <w:r>
        <w:rPr>
          <w:rFonts w:hint="eastAsia" w:ascii="仿宋_GB2312" w:hAnsi="仿宋_GB2312" w:eastAsia="仿宋_GB2312" w:cs="仿宋_GB2312"/>
          <w:b w:val="0"/>
          <w:bCs/>
          <w:color w:val="auto"/>
          <w:sz w:val="32"/>
          <w:szCs w:val="32"/>
          <w:lang w:val="en-US" w:eastAsia="zh-CN"/>
        </w:rPr>
        <w:t>66</w:t>
      </w:r>
      <w:r>
        <w:rPr>
          <w:rFonts w:hint="eastAsia" w:ascii="仿宋_GB2312" w:hAnsi="仿宋_GB2312" w:eastAsia="仿宋_GB2312" w:cs="仿宋_GB2312"/>
          <w:b w:val="0"/>
          <w:bCs/>
          <w:color w:val="auto"/>
          <w:sz w:val="32"/>
          <w:szCs w:val="32"/>
        </w:rPr>
        <w:t>个、</w:t>
      </w:r>
      <w:r>
        <w:rPr>
          <w:rFonts w:hint="eastAsia" w:ascii="仿宋_GB2312" w:hAnsi="仿宋_GB2312" w:eastAsia="仿宋_GB2312" w:cs="仿宋_GB2312"/>
          <w:b w:val="0"/>
          <w:bCs/>
          <w:color w:val="auto"/>
          <w:sz w:val="32"/>
          <w:szCs w:val="32"/>
          <w:lang w:eastAsia="zh-CN"/>
        </w:rPr>
        <w:t>庭院经济</w:t>
      </w:r>
      <w:r>
        <w:rPr>
          <w:rFonts w:hint="eastAsia" w:ascii="仿宋_GB2312" w:hAnsi="仿宋_GB2312" w:eastAsia="仿宋_GB2312" w:cs="仿宋_GB2312"/>
          <w:b w:val="0"/>
          <w:bCs/>
          <w:color w:val="auto"/>
          <w:sz w:val="32"/>
          <w:szCs w:val="32"/>
        </w:rPr>
        <w:t>户1.1万户，</w:t>
      </w:r>
      <w:r>
        <w:rPr>
          <w:rFonts w:hint="eastAsia" w:ascii="仿宋_GB2312" w:hAnsi="仿宋_GB2312" w:eastAsia="仿宋_GB2312" w:cs="仿宋_GB2312"/>
          <w:b w:val="0"/>
          <w:bCs/>
          <w:sz w:val="32"/>
          <w:szCs w:val="32"/>
        </w:rPr>
        <w:t>户均增</w:t>
      </w:r>
      <w:r>
        <w:rPr>
          <w:rFonts w:hint="eastAsia" w:ascii="仿宋_GB2312" w:hAnsi="仿宋_GB2312" w:eastAsia="仿宋_GB2312" w:cs="仿宋_GB2312"/>
          <w:b w:val="0"/>
          <w:bCs/>
          <w:sz w:val="32"/>
          <w:szCs w:val="32"/>
          <w:lang w:val="en-US" w:eastAsia="zh-CN"/>
        </w:rPr>
        <w:t>收1万元以上。</w:t>
      </w:r>
      <w:r>
        <w:rPr>
          <w:rFonts w:hint="eastAsia" w:ascii="仿宋_GB2312" w:hAnsi="仿宋_GB2312" w:eastAsia="仿宋_GB2312" w:cs="仿宋_GB2312"/>
          <w:b w:val="0"/>
          <w:bCs/>
          <w:sz w:val="32"/>
          <w:szCs w:val="32"/>
        </w:rPr>
        <w:t>旬阳庭院经济工作被《学习强国》《光明日报》等多家主流媒体深</w:t>
      </w:r>
      <w:r>
        <w:rPr>
          <w:rFonts w:hint="eastAsia" w:ascii="仿宋_GB2312" w:hAnsi="仿宋_GB2312" w:eastAsia="仿宋_GB2312" w:cs="仿宋_GB2312"/>
          <w:b w:val="0"/>
          <w:bCs/>
          <w:sz w:val="32"/>
          <w:szCs w:val="32"/>
          <w:lang w:val="en-US" w:eastAsia="zh-CN"/>
        </w:rPr>
        <w:t>度报道，</w:t>
      </w:r>
      <w:r>
        <w:rPr>
          <w:rFonts w:hint="eastAsia" w:ascii="仿宋_GB2312" w:hAnsi="仿宋_GB2312" w:eastAsia="仿宋_GB2312" w:cs="仿宋_GB2312"/>
          <w:b w:val="0"/>
          <w:bCs/>
          <w:sz w:val="32"/>
          <w:szCs w:val="32"/>
        </w:rPr>
        <w:t>“五好庭院经济”工作经验</w:t>
      </w:r>
      <w:r>
        <w:rPr>
          <w:rFonts w:hint="eastAsia" w:ascii="仿宋_GB2312" w:hAnsi="仿宋_GB2312" w:eastAsia="仿宋_GB2312" w:cs="仿宋_GB2312"/>
          <w:b w:val="0"/>
          <w:bCs/>
          <w:sz w:val="32"/>
          <w:szCs w:val="32"/>
          <w:lang w:eastAsia="zh-CN"/>
        </w:rPr>
        <w:t>被</w:t>
      </w:r>
      <w:r>
        <w:rPr>
          <w:rFonts w:hint="eastAsia" w:ascii="仿宋_GB2312" w:hAnsi="仿宋_GB2312" w:eastAsia="仿宋_GB2312" w:cs="仿宋_GB2312"/>
          <w:b w:val="0"/>
          <w:bCs/>
          <w:sz w:val="32"/>
          <w:szCs w:val="32"/>
        </w:rPr>
        <w:t>安康市委书记</w:t>
      </w:r>
      <w:bookmarkStart w:id="0" w:name="_GoBack"/>
      <w:bookmarkEnd w:id="0"/>
      <w:r>
        <w:rPr>
          <w:rFonts w:hint="eastAsia" w:ascii="仿宋_GB2312" w:hAnsi="仿宋_GB2312" w:eastAsia="仿宋_GB2312" w:cs="仿宋_GB2312"/>
          <w:b w:val="0"/>
          <w:bCs/>
          <w:sz w:val="32"/>
          <w:szCs w:val="32"/>
        </w:rPr>
        <w:t>武文罡批示在全市推广。</w:t>
      </w:r>
      <w:r>
        <w:rPr>
          <w:rFonts w:hint="eastAsia" w:ascii="仿宋_GB2312" w:hAnsi="仿宋_GB2312" w:eastAsia="仿宋_GB2312" w:cs="仿宋_GB2312"/>
          <w:b/>
          <w:bCs w:val="0"/>
          <w:sz w:val="32"/>
          <w:szCs w:val="32"/>
          <w:lang w:eastAsia="zh-CN"/>
        </w:rPr>
        <w:t>三是</w:t>
      </w:r>
      <w:r>
        <w:rPr>
          <w:rFonts w:hint="eastAsia" w:ascii="仿宋_GB2312" w:hAnsi="仿宋_GB2312" w:eastAsia="仿宋_GB2312" w:cs="仿宋_GB2312"/>
          <w:b/>
          <w:bCs w:val="0"/>
          <w:color w:val="auto"/>
          <w:kern w:val="2"/>
          <w:sz w:val="32"/>
          <w:szCs w:val="32"/>
          <w:rtl w:val="0"/>
          <w:lang w:val="zh-TW" w:eastAsia="zh-CN" w:bidi="ar-SA"/>
        </w:rPr>
        <w:t>经济林果已具规模。</w:t>
      </w:r>
      <w:r>
        <w:rPr>
          <w:rFonts w:hint="eastAsia" w:ascii="仿宋_GB2312" w:hAnsi="仿宋_GB2312" w:eastAsia="仿宋_GB2312" w:cs="仿宋_GB2312"/>
          <w:color w:val="auto"/>
          <w:sz w:val="32"/>
          <w:szCs w:val="32"/>
          <w:shd w:val="clear" w:color="auto" w:fill="FFFFFF"/>
          <w:lang w:val="en-US" w:eastAsia="zh-CN"/>
        </w:rPr>
        <w:t>全市</w:t>
      </w:r>
      <w:r>
        <w:rPr>
          <w:rFonts w:hint="eastAsia" w:ascii="仿宋_GB2312" w:hAnsi="仿宋_GB2312" w:eastAsia="仿宋_GB2312" w:cs="仿宋_GB2312"/>
          <w:color w:val="auto"/>
          <w:kern w:val="0"/>
          <w:sz w:val="32"/>
          <w:szCs w:val="32"/>
        </w:rPr>
        <w:t>累计特色</w:t>
      </w:r>
      <w:r>
        <w:rPr>
          <w:rFonts w:hint="eastAsia" w:ascii="仿宋_GB2312" w:hAnsi="仿宋_GB2312" w:eastAsia="仿宋_GB2312" w:cs="仿宋_GB2312"/>
          <w:color w:val="auto"/>
          <w:kern w:val="0"/>
          <w:sz w:val="32"/>
          <w:szCs w:val="32"/>
          <w:lang w:eastAsia="zh-CN"/>
        </w:rPr>
        <w:t>林果</w:t>
      </w:r>
      <w:r>
        <w:rPr>
          <w:rFonts w:hint="eastAsia" w:ascii="仿宋_GB2312" w:hAnsi="仿宋_GB2312" w:eastAsia="仿宋_GB2312" w:cs="仿宋_GB2312"/>
          <w:color w:val="auto"/>
          <w:kern w:val="0"/>
          <w:sz w:val="32"/>
          <w:szCs w:val="32"/>
        </w:rPr>
        <w:t>产业基地总面积达到12</w:t>
      </w:r>
      <w:r>
        <w:rPr>
          <w:rFonts w:hint="eastAsia" w:ascii="仿宋_GB2312" w:hAnsi="仿宋_GB2312" w:eastAsia="仿宋_GB2312" w:cs="仿宋_GB2312"/>
          <w:color w:val="auto"/>
          <w:kern w:val="0"/>
          <w:sz w:val="32"/>
          <w:szCs w:val="32"/>
          <w:lang w:val="en-US" w:eastAsia="zh-CN"/>
        </w:rPr>
        <w:t>7</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val="en-US" w:eastAsia="zh-CN"/>
        </w:rPr>
        <w:t>52</w:t>
      </w:r>
      <w:r>
        <w:rPr>
          <w:rFonts w:hint="eastAsia" w:ascii="仿宋_GB2312" w:hAnsi="仿宋_GB2312" w:eastAsia="仿宋_GB2312" w:cs="仿宋_GB2312"/>
          <w:color w:val="auto"/>
          <w:kern w:val="0"/>
          <w:sz w:val="32"/>
          <w:szCs w:val="32"/>
        </w:rPr>
        <w:t>万亩</w:t>
      </w:r>
      <w:r>
        <w:rPr>
          <w:rFonts w:hint="eastAsia" w:ascii="仿宋_GB2312" w:hAnsi="仿宋_GB2312" w:eastAsia="仿宋_GB2312" w:cs="仿宋_GB2312"/>
          <w:color w:val="auto"/>
          <w:sz w:val="32"/>
          <w:szCs w:val="32"/>
        </w:rPr>
        <w:t>，特色林果业产值达</w:t>
      </w:r>
      <w:r>
        <w:rPr>
          <w:rFonts w:hint="eastAsia" w:ascii="仿宋_GB2312" w:hAnsi="仿宋_GB2312" w:eastAsia="仿宋_GB2312" w:cs="仿宋_GB2312"/>
          <w:color w:val="auto"/>
          <w:sz w:val="32"/>
          <w:szCs w:val="32"/>
          <w:u w:val="none"/>
          <w:lang w:val="en-US" w:eastAsia="zh-CN"/>
        </w:rPr>
        <w:t>12.34</w:t>
      </w:r>
      <w:r>
        <w:rPr>
          <w:rFonts w:hint="eastAsia" w:ascii="仿宋_GB2312" w:hAnsi="仿宋_GB2312" w:eastAsia="仿宋_GB2312" w:cs="仿宋_GB2312"/>
          <w:color w:val="auto"/>
          <w:sz w:val="32"/>
          <w:szCs w:val="32"/>
        </w:rPr>
        <w:t>亿元。</w:t>
      </w:r>
      <w:r>
        <w:rPr>
          <w:rFonts w:hint="eastAsia" w:ascii="仿宋_GB2312" w:hAnsi="仿宋_GB2312" w:eastAsia="仿宋_GB2312" w:cs="仿宋_GB2312"/>
          <w:color w:val="auto"/>
          <w:sz w:val="32"/>
          <w:szCs w:val="32"/>
          <w:shd w:val="clear" w:color="auto" w:fill="FFFFFF"/>
        </w:rPr>
        <w:t>建成</w:t>
      </w:r>
      <w:r>
        <w:rPr>
          <w:rFonts w:hint="eastAsia" w:ascii="仿宋_GB2312" w:hAnsi="仿宋_GB2312" w:eastAsia="仿宋_GB2312" w:cs="仿宋_GB2312"/>
          <w:color w:val="auto"/>
          <w:sz w:val="32"/>
          <w:szCs w:val="32"/>
          <w:shd w:val="clear" w:color="auto" w:fill="FFFFFF"/>
          <w:lang w:eastAsia="zh-CN"/>
        </w:rPr>
        <w:t>林果</w:t>
      </w:r>
      <w:r>
        <w:rPr>
          <w:rFonts w:hint="eastAsia" w:ascii="仿宋_GB2312" w:hAnsi="仿宋_GB2312" w:eastAsia="仿宋_GB2312" w:cs="仿宋_GB2312"/>
          <w:color w:val="auto"/>
          <w:sz w:val="32"/>
          <w:szCs w:val="32"/>
          <w:shd w:val="clear" w:color="auto" w:fill="FFFFFF"/>
        </w:rPr>
        <w:t>产业万亩基地镇</w:t>
      </w:r>
      <w:r>
        <w:rPr>
          <w:rFonts w:hint="eastAsia" w:ascii="仿宋_GB2312" w:hAnsi="仿宋_GB2312" w:eastAsia="仿宋_GB2312" w:cs="仿宋_GB2312"/>
          <w:color w:val="auto"/>
          <w:sz w:val="32"/>
          <w:szCs w:val="32"/>
          <w:shd w:val="clear" w:color="auto" w:fill="FFFFFF"/>
          <w:lang w:val="en-US" w:eastAsia="zh-CN"/>
        </w:rPr>
        <w:t>21</w:t>
      </w:r>
      <w:r>
        <w:rPr>
          <w:rFonts w:hint="eastAsia" w:ascii="仿宋_GB2312" w:hAnsi="仿宋_GB2312" w:eastAsia="仿宋_GB2312" w:cs="仿宋_GB2312"/>
          <w:color w:val="auto"/>
          <w:sz w:val="32"/>
          <w:szCs w:val="32"/>
          <w:shd w:val="clear" w:color="auto" w:fill="FFFFFF"/>
        </w:rPr>
        <w:t>个，千亩示范村6</w:t>
      </w:r>
      <w:r>
        <w:rPr>
          <w:rFonts w:hint="eastAsia" w:ascii="仿宋_GB2312" w:hAnsi="仿宋_GB2312" w:eastAsia="仿宋_GB2312" w:cs="仿宋_GB2312"/>
          <w:color w:val="auto"/>
          <w:sz w:val="32"/>
          <w:szCs w:val="32"/>
          <w:shd w:val="clear" w:color="auto" w:fill="FFFFFF"/>
          <w:lang w:val="en-US" w:eastAsia="zh-CN"/>
        </w:rPr>
        <w:t>8</w:t>
      </w:r>
      <w:r>
        <w:rPr>
          <w:rFonts w:hint="eastAsia" w:ascii="仿宋_GB2312" w:hAnsi="仿宋_GB2312" w:eastAsia="仿宋_GB2312" w:cs="仿宋_GB2312"/>
          <w:color w:val="auto"/>
          <w:sz w:val="32"/>
          <w:szCs w:val="32"/>
          <w:shd w:val="clear" w:color="auto" w:fill="FFFFFF"/>
        </w:rPr>
        <w:t>个，百亩精品点84个。</w:t>
      </w:r>
      <w:r>
        <w:rPr>
          <w:rFonts w:hint="eastAsia" w:ascii="仿宋_GB2312" w:hAnsi="仿宋_GB2312" w:eastAsia="仿宋_GB2312" w:cs="仿宋_GB2312"/>
          <w:b/>
          <w:bCs/>
          <w:color w:val="auto"/>
          <w:sz w:val="32"/>
          <w:szCs w:val="32"/>
          <w:lang w:val="en-US" w:eastAsia="zh-CN"/>
        </w:rPr>
        <w:t>四是林下经济</w:t>
      </w:r>
      <w:r>
        <w:rPr>
          <w:rFonts w:hint="eastAsia" w:ascii="仿宋_GB2312" w:hAnsi="仿宋_GB2312" w:eastAsia="仿宋_GB2312" w:cs="仿宋_GB2312"/>
          <w:b/>
          <w:bCs w:val="0"/>
          <w:color w:val="auto"/>
          <w:kern w:val="2"/>
          <w:sz w:val="32"/>
          <w:szCs w:val="32"/>
          <w:rtl w:val="0"/>
          <w:lang w:val="zh-TW" w:eastAsia="zh-CN" w:bidi="ar-SA"/>
        </w:rPr>
        <w:t>蓬勃发展</w:t>
      </w:r>
      <w:r>
        <w:rPr>
          <w:rFonts w:hint="eastAsia" w:ascii="仿宋_GB2312" w:hAnsi="仿宋_GB2312" w:eastAsia="仿宋_GB2312" w:cs="仿宋_GB2312"/>
          <w:b/>
          <w:bCs/>
          <w:color w:val="auto"/>
          <w:sz w:val="32"/>
          <w:szCs w:val="32"/>
          <w:lang w:val="en-US" w:eastAsia="zh-CN"/>
        </w:rPr>
        <w:t>。</w:t>
      </w:r>
      <w:r>
        <w:rPr>
          <w:rFonts w:hint="eastAsia" w:ascii="仿宋_GB2312" w:hAnsi="仿宋_GB2312" w:eastAsia="仿宋_GB2312" w:cs="仿宋_GB2312"/>
          <w:color w:val="auto"/>
          <w:sz w:val="32"/>
          <w:szCs w:val="32"/>
        </w:rPr>
        <w:t>全</w:t>
      </w:r>
      <w:r>
        <w:rPr>
          <w:rFonts w:hint="eastAsia" w:ascii="仿宋_GB2312" w:hAnsi="仿宋_GB2312" w:eastAsia="仿宋_GB2312" w:cs="仿宋_GB2312"/>
          <w:color w:val="auto"/>
          <w:sz w:val="32"/>
          <w:szCs w:val="32"/>
          <w:lang w:eastAsia="zh-CN"/>
        </w:rPr>
        <w:t>市</w:t>
      </w:r>
      <w:r>
        <w:rPr>
          <w:rFonts w:hint="eastAsia" w:ascii="仿宋_GB2312" w:hAnsi="仿宋_GB2312" w:eastAsia="仿宋_GB2312" w:cs="仿宋_GB2312"/>
          <w:color w:val="auto"/>
          <w:sz w:val="32"/>
          <w:szCs w:val="32"/>
        </w:rPr>
        <w:t>累计发展林下种植</w:t>
      </w:r>
      <w:r>
        <w:rPr>
          <w:rFonts w:hint="eastAsia" w:ascii="仿宋_GB2312" w:hAnsi="仿宋_GB2312" w:eastAsia="仿宋_GB2312" w:cs="仿宋_GB2312"/>
          <w:color w:val="auto"/>
          <w:sz w:val="32"/>
          <w:szCs w:val="32"/>
          <w:lang w:val="en-US" w:eastAsia="zh-CN"/>
        </w:rPr>
        <w:t>19.2</w:t>
      </w:r>
      <w:r>
        <w:rPr>
          <w:rFonts w:hint="eastAsia" w:ascii="仿宋_GB2312" w:hAnsi="仿宋_GB2312" w:eastAsia="仿宋_GB2312" w:cs="仿宋_GB2312"/>
          <w:color w:val="auto"/>
          <w:sz w:val="32"/>
          <w:szCs w:val="32"/>
        </w:rPr>
        <w:t>万亩，林下养殖</w:t>
      </w:r>
      <w:r>
        <w:rPr>
          <w:rFonts w:hint="eastAsia" w:ascii="仿宋_GB2312" w:hAnsi="仿宋_GB2312" w:eastAsia="仿宋_GB2312" w:cs="仿宋_GB2312"/>
          <w:color w:val="auto"/>
          <w:sz w:val="32"/>
          <w:szCs w:val="32"/>
          <w:lang w:val="en-US" w:eastAsia="zh-CN"/>
        </w:rPr>
        <w:t>293</w:t>
      </w:r>
      <w:r>
        <w:rPr>
          <w:rFonts w:hint="eastAsia" w:ascii="仿宋_GB2312" w:hAnsi="仿宋_GB2312" w:eastAsia="仿宋_GB2312" w:cs="仿宋_GB2312"/>
          <w:color w:val="auto"/>
          <w:sz w:val="32"/>
          <w:szCs w:val="32"/>
        </w:rPr>
        <w:t>万头（只、箱）</w:t>
      </w:r>
      <w:r>
        <w:rPr>
          <w:rFonts w:hint="eastAsia" w:ascii="仿宋_GB2312" w:hAnsi="仿宋_GB2312" w:eastAsia="仿宋_GB2312" w:cs="仿宋_GB2312"/>
          <w:color w:val="auto"/>
          <w:sz w:val="32"/>
          <w:szCs w:val="32"/>
          <w:lang w:eastAsia="zh-CN"/>
        </w:rPr>
        <w:t>，林下经济产值</w:t>
      </w:r>
      <w:r>
        <w:rPr>
          <w:rFonts w:hint="eastAsia" w:ascii="仿宋_GB2312" w:hAnsi="仿宋_GB2312" w:eastAsia="仿宋_GB2312" w:cs="仿宋_GB2312"/>
          <w:color w:val="auto"/>
          <w:sz w:val="32"/>
          <w:szCs w:val="32"/>
          <w:lang w:val="en-US" w:eastAsia="zh-CN"/>
        </w:rPr>
        <w:t>7.2亿元</w:t>
      </w:r>
      <w:r>
        <w:rPr>
          <w:rFonts w:hint="eastAsia" w:ascii="仿宋_GB2312" w:hAnsi="仿宋_GB2312" w:eastAsia="仿宋_GB2312" w:cs="仿宋_GB2312"/>
          <w:color w:val="auto"/>
          <w:sz w:val="32"/>
          <w:szCs w:val="32"/>
        </w:rPr>
        <w:t>。</w:t>
      </w:r>
    </w:p>
    <w:p w14:paraId="14D8F0DA">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0" w:firstLineChars="200"/>
        <w:textAlignment w:val="baseline"/>
        <w:rPr>
          <w:rFonts w:hint="eastAsia" w:ascii="黑体" w:hAnsi="黑体" w:eastAsia="仿宋_GB2312" w:cs="黑体"/>
          <w:b w:val="0"/>
          <w:bCs/>
          <w:kern w:val="0"/>
          <w:sz w:val="32"/>
          <w:szCs w:val="32"/>
          <w:lang w:val="en-US" w:eastAsia="zh-CN"/>
        </w:rPr>
      </w:pPr>
      <w:r>
        <w:rPr>
          <w:rFonts w:hint="eastAsia" w:ascii="黑体" w:hAnsi="黑体" w:eastAsia="黑体" w:cs="黑体"/>
          <w:b w:val="0"/>
          <w:bCs/>
          <w:kern w:val="0"/>
          <w:sz w:val="32"/>
          <w:szCs w:val="32"/>
          <w:lang w:val="en-US" w:eastAsia="zh-CN"/>
        </w:rPr>
        <w:t>四、构筑防线，严格资源管护。</w:t>
      </w:r>
      <w:r>
        <w:rPr>
          <w:rFonts w:hint="eastAsia" w:ascii="仿宋_GB2312" w:hAnsi="仿宋_GB2312" w:eastAsia="仿宋_GB2312" w:cs="仿宋_GB2312"/>
          <w:b w:val="0"/>
          <w:bCs/>
          <w:kern w:val="0"/>
          <w:sz w:val="32"/>
          <w:szCs w:val="32"/>
          <w:lang w:val="en-US" w:eastAsia="zh-CN"/>
        </w:rPr>
        <w:t>该局</w:t>
      </w:r>
      <w:r>
        <w:rPr>
          <w:rFonts w:hint="eastAsia" w:ascii="仿宋_GB2312" w:hAnsi="仿宋_GB2312" w:eastAsia="仿宋_GB2312" w:cs="仿宋_GB2312"/>
          <w:sz w:val="32"/>
          <w:szCs w:val="32"/>
        </w:rPr>
        <w:t>认真落实“生态红线”政治责任，</w:t>
      </w:r>
      <w:r>
        <w:rPr>
          <w:rFonts w:hint="eastAsia" w:ascii="仿宋_GB2312" w:hAnsi="仿宋_GB2312" w:eastAsia="仿宋_GB2312" w:cs="仿宋_GB2312"/>
          <w:bCs/>
          <w:sz w:val="32"/>
          <w:szCs w:val="32"/>
        </w:rPr>
        <w:t>持续健全责任落实、队伍建设、动态监管机制，全面加强资源管护</w:t>
      </w:r>
      <w:r>
        <w:rPr>
          <w:rFonts w:hint="eastAsia" w:ascii="仿宋_GB2312" w:hAnsi="仿宋_GB2312" w:eastAsia="仿宋_GB2312" w:cs="仿宋_GB2312"/>
          <w:sz w:val="32"/>
          <w:szCs w:val="32"/>
        </w:rPr>
        <w:t>，传承乡村生态文化</w:t>
      </w:r>
      <w:r>
        <w:rPr>
          <w:rFonts w:hint="eastAsia" w:ascii="仿宋_GB2312" w:hAnsi="仿宋_GB2312" w:eastAsia="仿宋_GB2312" w:cs="仿宋_GB2312"/>
          <w:bCs/>
          <w:sz w:val="32"/>
          <w:szCs w:val="32"/>
        </w:rPr>
        <w:t>。</w:t>
      </w:r>
      <w:r>
        <w:rPr>
          <w:rFonts w:hint="eastAsia" w:ascii="仿宋_GB2312" w:hAnsi="仿宋_GB2312" w:eastAsia="仿宋_GB2312" w:cs="仿宋_GB2312"/>
          <w:sz w:val="32"/>
          <w:szCs w:val="32"/>
        </w:rPr>
        <w:t>森林火灾受害率、林业有害生物成灾防控率均在控制指标以下，生态系统质量得到显著提高。3</w:t>
      </w:r>
      <w:r>
        <w:rPr>
          <w:rFonts w:hint="eastAsia" w:ascii="仿宋_GB2312" w:hAnsi="仿宋_GB2312" w:eastAsia="仿宋_GB2312" w:cs="仿宋_GB2312"/>
          <w:sz w:val="32"/>
          <w:szCs w:val="32"/>
          <w:lang w:val="en-US" w:eastAsia="zh-CN"/>
        </w:rPr>
        <w:t>639</w:t>
      </w:r>
      <w:r>
        <w:rPr>
          <w:rFonts w:hint="eastAsia" w:ascii="仿宋_GB2312" w:hAnsi="仿宋_GB2312" w:eastAsia="仿宋_GB2312" w:cs="仿宋_GB2312"/>
          <w:sz w:val="32"/>
          <w:szCs w:val="32"/>
        </w:rPr>
        <w:t>名护林员形成网格化管理模式，持续开展打击整治破坏秦岭野生动物资源违法犯罪与“绿卫”专项行动，建立起“横向到边、纵向到底，不留死角”线索摸排和动态监管机制，在全</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迅速形</w:t>
      </w:r>
      <w:r>
        <w:rPr>
          <w:rFonts w:hint="eastAsia" w:ascii="仿宋_GB2312" w:hAnsi="仿宋_GB2312" w:eastAsia="仿宋_GB2312" w:cs="仿宋_GB2312"/>
          <w:b w:val="0"/>
          <w:bCs w:val="0"/>
          <w:sz w:val="32"/>
          <w:szCs w:val="32"/>
        </w:rPr>
        <w:t>成群</w:t>
      </w:r>
      <w:r>
        <w:rPr>
          <w:rFonts w:hint="eastAsia" w:ascii="仿宋_GB2312" w:hAnsi="仿宋_GB2312" w:eastAsia="仿宋_GB2312" w:cs="仿宋_GB2312"/>
          <w:sz w:val="32"/>
          <w:szCs w:val="32"/>
        </w:rPr>
        <w:t>防群控、严打严防、共治共享的工作格局。</w:t>
      </w:r>
      <w:r>
        <w:rPr>
          <w:rFonts w:hint="eastAsia" w:ascii="仿宋_GB2312" w:hAnsi="仿宋_GB2312" w:eastAsia="仿宋_GB2312" w:cs="仿宋_GB2312"/>
          <w:sz w:val="32"/>
          <w:szCs w:val="32"/>
          <w:lang w:eastAsia="zh-CN"/>
        </w:rPr>
        <w:t>全市</w:t>
      </w:r>
      <w:r>
        <w:rPr>
          <w:rFonts w:hint="eastAsia" w:ascii="仿宋_GB2312" w:hAnsi="仿宋_GB2312" w:eastAsia="仿宋_GB2312" w:cs="仿宋_GB2312"/>
          <w:kern w:val="0"/>
          <w:sz w:val="32"/>
          <w:szCs w:val="32"/>
        </w:rPr>
        <w:t>森林蓄积量达</w:t>
      </w:r>
      <w:r>
        <w:rPr>
          <w:rFonts w:hint="eastAsia" w:ascii="仿宋_GB2312" w:hAnsi="仿宋_GB2312" w:eastAsia="仿宋_GB2312" w:cs="仿宋_GB2312"/>
          <w:sz w:val="32"/>
          <w:szCs w:val="32"/>
        </w:rPr>
        <w:t>到</w:t>
      </w:r>
      <w:r>
        <w:rPr>
          <w:rFonts w:hint="eastAsia" w:ascii="仿宋_GB2312" w:hAnsi="仿宋_GB2312" w:eastAsia="仿宋_GB2312" w:cs="仿宋_GB2312"/>
          <w:sz w:val="32"/>
          <w:szCs w:val="32"/>
          <w:lang w:val="en-US" w:eastAsia="zh-CN"/>
        </w:rPr>
        <w:t>507</w:t>
      </w:r>
      <w:r>
        <w:rPr>
          <w:rFonts w:hint="eastAsia" w:ascii="仿宋_GB2312" w:hAnsi="仿宋_GB2312" w:eastAsia="仿宋_GB2312" w:cs="仿宋_GB2312"/>
          <w:sz w:val="32"/>
          <w:szCs w:val="32"/>
        </w:rPr>
        <w:t>万</w:t>
      </w:r>
      <w:r>
        <w:rPr>
          <w:rFonts w:hint="eastAsia" w:ascii="仿宋_GB2312" w:hAnsi="仿宋_GB2312" w:eastAsia="仿宋_GB2312" w:cs="仿宋_GB2312"/>
          <w:b w:val="0"/>
          <w:bCs w:val="0"/>
          <w:sz w:val="32"/>
          <w:szCs w:val="32"/>
        </w:rPr>
        <w:t>立方米，湿地保有量稳定在6.98万亩，林地保有量面积达到</w:t>
      </w:r>
      <w:r>
        <w:rPr>
          <w:rFonts w:hint="eastAsia" w:ascii="仿宋_GB2312" w:hAnsi="仿宋_GB2312" w:eastAsia="仿宋_GB2312" w:cs="仿宋_GB2312"/>
          <w:b w:val="0"/>
          <w:bCs w:val="0"/>
          <w:sz w:val="32"/>
          <w:szCs w:val="32"/>
          <w:lang w:val="en-US" w:eastAsia="zh-CN"/>
        </w:rPr>
        <w:t>424.22</w:t>
      </w:r>
      <w:r>
        <w:rPr>
          <w:rFonts w:hint="eastAsia" w:ascii="仿宋_GB2312" w:hAnsi="仿宋_GB2312" w:eastAsia="仿宋_GB2312" w:cs="仿宋_GB2312"/>
          <w:b w:val="0"/>
          <w:bCs w:val="0"/>
          <w:sz w:val="32"/>
          <w:szCs w:val="32"/>
        </w:rPr>
        <w:t>万亩</w:t>
      </w:r>
      <w:r>
        <w:rPr>
          <w:rFonts w:hint="eastAsia" w:ascii="仿宋_GB2312" w:hAnsi="仿宋_GB2312" w:eastAsia="仿宋_GB2312" w:cs="仿宋_GB2312"/>
          <w:b w:val="0"/>
          <w:bCs w:val="0"/>
          <w:sz w:val="32"/>
          <w:szCs w:val="32"/>
          <w:lang w:eastAsia="zh-CN"/>
        </w:rPr>
        <w:t>。</w:t>
      </w:r>
    </w:p>
    <w:p w14:paraId="5CB7CAC5">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i w:val="0"/>
          <w:iCs w:val="0"/>
          <w:caps w:val="0"/>
          <w:color w:val="333333"/>
          <w:spacing w:val="0"/>
          <w:sz w:val="32"/>
          <w:szCs w:val="32"/>
          <w:shd w:val="clear" w:color="auto" w:fill="auto"/>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AF6242"/>
    <w:rsid w:val="33347C1A"/>
    <w:rsid w:val="34735472"/>
    <w:rsid w:val="35B21EFA"/>
    <w:rsid w:val="41220CF9"/>
    <w:rsid w:val="5E2E37E5"/>
    <w:rsid w:val="5F7F23F9"/>
    <w:rsid w:val="60833D40"/>
    <w:rsid w:val="6A6B58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2121</Words>
  <Characters>2229</Characters>
  <Lines>0</Lines>
  <Paragraphs>0</Paragraphs>
  <TotalTime>4</TotalTime>
  <ScaleCrop>false</ScaleCrop>
  <LinksUpToDate>false</LinksUpToDate>
  <CharactersWithSpaces>2232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2026-02-03T09:52:00Z</dcterms:created>
  <dc:creator>Administrator</dc:creator>
  <cp:lastModifiedBy>吧唧你一口</cp:lastModifiedBy>
  <cp:lastPrinted>2026-02-05T00:09:16Z</cp:lastPrinted>
  <dcterms:modified xsi:type="dcterms:W3CDTF">2026-02-05T00:10:09Z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eyJoZGlkIjoiNjBmNTY5YWM3YTc4NDZjMGI2NGMyNTZhNzc0MGM1NTkiLCJ1c2VySWQiOiI0MTcxNjEzNzMifQ==</vt:lpwstr>
  </property>
  <property fmtid="{D5CDD505-2E9C-101B-9397-08002B2CF9AE}" pid="4" name="ICV">
    <vt:lpwstr>D24EF997A27F464399C92F2AEE4D1A33_12</vt:lpwstr>
  </property>
</Properties>
</file>